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E766" w14:textId="77777777" w:rsidR="0065773B" w:rsidRDefault="0065773B" w:rsidP="00557DA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3CE637" w14:textId="77777777" w:rsidR="0065773B" w:rsidRDefault="0065773B" w:rsidP="00557DA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434AEA" w14:textId="23F507E7" w:rsidR="00557DA2" w:rsidRPr="00822F96" w:rsidRDefault="00557DA2" w:rsidP="00557D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  <w:u w:val="single"/>
        </w:rPr>
        <w:t>Drafting responses to AFCA</w:t>
      </w:r>
    </w:p>
    <w:p w14:paraId="7413DD2E" w14:textId="77777777" w:rsidR="00557DA2" w:rsidRPr="00822F96" w:rsidRDefault="00557DA2" w:rsidP="00557DA2">
      <w:pPr>
        <w:rPr>
          <w:rFonts w:asciiTheme="minorHAnsi" w:hAnsiTheme="minorHAnsi" w:cstheme="minorHAnsi"/>
          <w:sz w:val="22"/>
          <w:szCs w:val="22"/>
        </w:rPr>
      </w:pPr>
    </w:p>
    <w:p w14:paraId="77E8806C" w14:textId="02AA3B8D" w:rsidR="008B171B" w:rsidRPr="00822F96" w:rsidRDefault="00557DA2" w:rsidP="00557DA2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 xml:space="preserve">This document has been prepared to assist our coverholders and DCAs in completing responses to AFCA as part of the external dispute resolution (‘EDR’) process. </w:t>
      </w:r>
    </w:p>
    <w:p w14:paraId="57BB3B3B" w14:textId="44DC2A51" w:rsidR="00557DA2" w:rsidRPr="00822F96" w:rsidRDefault="00557DA2" w:rsidP="00557DA2">
      <w:pPr>
        <w:rPr>
          <w:rFonts w:asciiTheme="minorHAnsi" w:hAnsiTheme="minorHAnsi" w:cstheme="minorHAnsi"/>
          <w:sz w:val="22"/>
          <w:szCs w:val="22"/>
        </w:rPr>
      </w:pPr>
    </w:p>
    <w:p w14:paraId="4D5034C6" w14:textId="2E529239" w:rsidR="00557DA2" w:rsidRPr="00822F96" w:rsidRDefault="00822F96" w:rsidP="00557DA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Please use</w:t>
      </w:r>
      <w:r w:rsidR="00557DA2" w:rsidRPr="00822F96">
        <w:rPr>
          <w:rFonts w:asciiTheme="minorHAnsi" w:hAnsiTheme="minorHAnsi" w:cstheme="minorHAnsi"/>
          <w:b/>
          <w:bCs/>
          <w:sz w:val="22"/>
          <w:szCs w:val="22"/>
        </w:rPr>
        <w:t xml:space="preserve"> the template below for all EDR responses.</w:t>
      </w:r>
    </w:p>
    <w:p w14:paraId="6690FDD7" w14:textId="6366FCD1" w:rsidR="00557DA2" w:rsidRPr="00822F96" w:rsidRDefault="00557DA2" w:rsidP="00557DA2">
      <w:pPr>
        <w:rPr>
          <w:rFonts w:asciiTheme="minorHAnsi" w:hAnsiTheme="minorHAnsi" w:cstheme="minorHAnsi"/>
          <w:sz w:val="22"/>
          <w:szCs w:val="22"/>
        </w:rPr>
      </w:pPr>
    </w:p>
    <w:p w14:paraId="2C530A93" w14:textId="014688DD" w:rsidR="00557DA2" w:rsidRPr="00822F96" w:rsidRDefault="00557DA2" w:rsidP="00557DA2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It is important to note the following:</w:t>
      </w:r>
    </w:p>
    <w:p w14:paraId="09FD2FCD" w14:textId="77777777" w:rsidR="009074B5" w:rsidRPr="00822F96" w:rsidRDefault="009074B5" w:rsidP="00557DA2">
      <w:pPr>
        <w:rPr>
          <w:rFonts w:asciiTheme="minorHAnsi" w:hAnsiTheme="minorHAnsi" w:cstheme="minorHAnsi"/>
          <w:sz w:val="22"/>
          <w:szCs w:val="22"/>
        </w:rPr>
      </w:pPr>
    </w:p>
    <w:p w14:paraId="677AE9E0" w14:textId="7BD8C781" w:rsidR="00557DA2" w:rsidRPr="00822F96" w:rsidRDefault="00557DA2" w:rsidP="00557DA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 xml:space="preserve">When a complaint is referred to AFCA, </w:t>
      </w:r>
      <w:r w:rsidR="009074B5" w:rsidRPr="00822F96">
        <w:rPr>
          <w:rFonts w:asciiTheme="minorHAnsi" w:hAnsiTheme="minorHAnsi" w:cstheme="minorHAnsi"/>
          <w:sz w:val="22"/>
          <w:szCs w:val="22"/>
        </w:rPr>
        <w:t>it</w:t>
      </w:r>
      <w:r w:rsidRPr="00822F96">
        <w:rPr>
          <w:rFonts w:asciiTheme="minorHAnsi" w:hAnsiTheme="minorHAnsi" w:cstheme="minorHAnsi"/>
          <w:sz w:val="22"/>
          <w:szCs w:val="22"/>
        </w:rPr>
        <w:t xml:space="preserve"> is an opportunity to consider whether there are any options to resolve the compl</w:t>
      </w:r>
      <w:r w:rsidR="009074B5" w:rsidRPr="00822F96">
        <w:rPr>
          <w:rFonts w:asciiTheme="minorHAnsi" w:hAnsiTheme="minorHAnsi" w:cstheme="minorHAnsi"/>
          <w:sz w:val="22"/>
          <w:szCs w:val="22"/>
        </w:rPr>
        <w:t>aint on a commercial basis. You should consider the amount in dispute, the nature of the complaint and the AFCA fees.</w:t>
      </w:r>
    </w:p>
    <w:p w14:paraId="466A9AD2" w14:textId="77777777" w:rsidR="009074B5" w:rsidRPr="00822F96" w:rsidRDefault="009074B5" w:rsidP="009074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8E391FF" w14:textId="7094980C" w:rsidR="00557DA2" w:rsidRPr="00822F96" w:rsidRDefault="00557DA2" w:rsidP="00557DA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All issues raised in the complaint should be addressed. Please ensure you refer to the AFCA referral email.</w:t>
      </w:r>
    </w:p>
    <w:p w14:paraId="2126EBA6" w14:textId="77777777" w:rsidR="005B78C2" w:rsidRPr="00822F96" w:rsidRDefault="005B78C2" w:rsidP="005B78C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F99FA60" w14:textId="231DBF33" w:rsidR="005B78C2" w:rsidRPr="00822F96" w:rsidRDefault="005B78C2" w:rsidP="00557DA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 xml:space="preserve">The EDR response </w:t>
      </w:r>
      <w:r w:rsidRPr="00822F96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Pr="00822F96">
        <w:rPr>
          <w:rFonts w:asciiTheme="minorHAnsi" w:hAnsiTheme="minorHAnsi" w:cstheme="minorHAnsi"/>
          <w:sz w:val="22"/>
          <w:szCs w:val="22"/>
        </w:rPr>
        <w:t xml:space="preserve"> be </w:t>
      </w:r>
      <w:r w:rsidR="0065773B" w:rsidRPr="00822F96">
        <w:rPr>
          <w:rFonts w:asciiTheme="minorHAnsi" w:hAnsiTheme="minorHAnsi" w:cstheme="minorHAnsi"/>
          <w:sz w:val="22"/>
          <w:szCs w:val="22"/>
        </w:rPr>
        <w:t xml:space="preserve">aligned to the decision detailed in the final IDR decision letter. </w:t>
      </w:r>
    </w:p>
    <w:p w14:paraId="7229B2BE" w14:textId="77777777" w:rsidR="009074B5" w:rsidRPr="00822F96" w:rsidRDefault="009074B5" w:rsidP="009074B5">
      <w:pPr>
        <w:rPr>
          <w:rFonts w:asciiTheme="minorHAnsi" w:hAnsiTheme="minorHAnsi" w:cstheme="minorHAnsi"/>
          <w:sz w:val="22"/>
          <w:szCs w:val="22"/>
        </w:rPr>
      </w:pPr>
    </w:p>
    <w:p w14:paraId="67F8FDA6" w14:textId="4052C3AB" w:rsidR="00ED421F" w:rsidRPr="00822F96" w:rsidRDefault="009074B5" w:rsidP="00ED421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The terms “Complainant” and “Financial Firm” should be used (please note this has changed from the previous terms, “Applicant” and “FSP”).</w:t>
      </w:r>
    </w:p>
    <w:p w14:paraId="4F60CEFF" w14:textId="77777777" w:rsidR="009074B5" w:rsidRPr="00822F96" w:rsidRDefault="009074B5" w:rsidP="009074B5">
      <w:pPr>
        <w:rPr>
          <w:rFonts w:asciiTheme="minorHAnsi" w:hAnsiTheme="minorHAnsi" w:cstheme="minorHAnsi"/>
          <w:sz w:val="22"/>
          <w:szCs w:val="22"/>
        </w:rPr>
      </w:pPr>
    </w:p>
    <w:p w14:paraId="5F05C80F" w14:textId="607D8156" w:rsidR="009074B5" w:rsidRPr="00822F96" w:rsidRDefault="009074B5" w:rsidP="00557DA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The relevant appendices must be listed at the end of the EDR response in the format shown</w:t>
      </w:r>
      <w:r w:rsidR="004842D1" w:rsidRPr="00822F96">
        <w:rPr>
          <w:rFonts w:asciiTheme="minorHAnsi" w:hAnsiTheme="minorHAnsi" w:cstheme="minorHAnsi"/>
          <w:sz w:val="22"/>
          <w:szCs w:val="22"/>
        </w:rPr>
        <w:t>, as an example. These will obviously differ depending on the claim type</w:t>
      </w:r>
      <w:r w:rsidR="005B78C2" w:rsidRPr="00822F96">
        <w:rPr>
          <w:rFonts w:asciiTheme="minorHAnsi" w:hAnsiTheme="minorHAnsi" w:cstheme="minorHAnsi"/>
          <w:sz w:val="22"/>
          <w:szCs w:val="22"/>
        </w:rPr>
        <w:t xml:space="preserve"> i.e. claim/policy/service, etc</w:t>
      </w:r>
      <w:r w:rsidRPr="00822F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18D128" w14:textId="77777777" w:rsidR="009074B5" w:rsidRPr="00822F96" w:rsidRDefault="009074B5" w:rsidP="009074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07510F9" w14:textId="0B21058B" w:rsidR="009074B5" w:rsidRPr="00822F96" w:rsidRDefault="009074B5" w:rsidP="00557DA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The appendices</w:t>
      </w:r>
      <w:r w:rsidR="00822F96" w:rsidRPr="00822F96">
        <w:rPr>
          <w:rFonts w:asciiTheme="minorHAnsi" w:hAnsiTheme="minorHAnsi" w:cstheme="minorHAnsi"/>
          <w:sz w:val="22"/>
          <w:szCs w:val="22"/>
        </w:rPr>
        <w:t xml:space="preserve"> must</w:t>
      </w:r>
      <w:r w:rsidRPr="00822F96">
        <w:rPr>
          <w:rFonts w:asciiTheme="minorHAnsi" w:hAnsiTheme="minorHAnsi" w:cstheme="minorHAnsi"/>
          <w:sz w:val="22"/>
          <w:szCs w:val="22"/>
        </w:rPr>
        <w:t xml:space="preserve"> be sent to Lloyd’s as separate pdf documents, named ‘Appendix A’, ‘Appendix B’, etc</w:t>
      </w:r>
      <w:r w:rsidR="004842D1" w:rsidRPr="00822F96">
        <w:rPr>
          <w:rFonts w:asciiTheme="minorHAnsi" w:hAnsiTheme="minorHAnsi" w:cstheme="minorHAnsi"/>
          <w:sz w:val="22"/>
          <w:szCs w:val="22"/>
        </w:rPr>
        <w:t xml:space="preserve"> so they can be uploaded to the AFCA portal without further amendment.</w:t>
      </w:r>
    </w:p>
    <w:p w14:paraId="23F606B1" w14:textId="77777777" w:rsidR="009074B5" w:rsidRPr="00822F96" w:rsidRDefault="009074B5" w:rsidP="009074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6B4A26" w14:textId="6D69F108" w:rsidR="002D1333" w:rsidRDefault="009074B5" w:rsidP="009074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F17B1">
        <w:rPr>
          <w:rFonts w:asciiTheme="minorHAnsi" w:hAnsiTheme="minorHAnsi" w:cstheme="minorHAnsi"/>
          <w:b/>
          <w:bCs/>
          <w:sz w:val="22"/>
          <w:szCs w:val="22"/>
        </w:rPr>
        <w:t>Top tips:</w:t>
      </w:r>
    </w:p>
    <w:p w14:paraId="1450BC97" w14:textId="77777777" w:rsidR="005F17B1" w:rsidRPr="005F17B1" w:rsidRDefault="005F17B1" w:rsidP="009074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579E6A" w14:textId="3FE8129D" w:rsidR="009074B5" w:rsidRDefault="009074B5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Keep the response as concise as possible</w:t>
      </w:r>
    </w:p>
    <w:p w14:paraId="451EE614" w14:textId="40C924A6" w:rsidR="00822F96" w:rsidRPr="00822F96" w:rsidRDefault="00822F96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Calibri 11, to ensure consistency across all Lloyd’s responses</w:t>
      </w:r>
    </w:p>
    <w:p w14:paraId="57F21710" w14:textId="617A0085" w:rsidR="004842D1" w:rsidRPr="00822F96" w:rsidRDefault="004842D1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Check all dates referred to are correct</w:t>
      </w:r>
    </w:p>
    <w:p w14:paraId="63DFD3FD" w14:textId="020FDA9E" w:rsidR="009074B5" w:rsidRPr="00822F96" w:rsidRDefault="009074B5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Check for basic spelling mistake</w:t>
      </w:r>
      <w:r w:rsidR="004842D1" w:rsidRPr="00822F96">
        <w:rPr>
          <w:rFonts w:asciiTheme="minorHAnsi" w:hAnsiTheme="minorHAnsi" w:cstheme="minorHAnsi"/>
          <w:sz w:val="22"/>
          <w:szCs w:val="22"/>
        </w:rPr>
        <w:t>s</w:t>
      </w:r>
    </w:p>
    <w:p w14:paraId="24CB1FC0" w14:textId="2072E3BB" w:rsidR="009074B5" w:rsidRPr="00822F96" w:rsidRDefault="00ED421F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The response must be on letterhead and include a signature</w:t>
      </w:r>
    </w:p>
    <w:p w14:paraId="7297489C" w14:textId="19AAEA7D" w:rsidR="004842D1" w:rsidRDefault="005F17B1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4842D1" w:rsidRPr="00822F96">
        <w:rPr>
          <w:rFonts w:asciiTheme="minorHAnsi" w:hAnsiTheme="minorHAnsi" w:cstheme="minorHAnsi"/>
          <w:sz w:val="22"/>
          <w:szCs w:val="22"/>
        </w:rPr>
        <w:t>efer to the relevant appendix in the text of the response, e.g. ‘</w:t>
      </w:r>
      <w:r w:rsidR="004842D1" w:rsidRPr="00822F96">
        <w:rPr>
          <w:rFonts w:asciiTheme="minorHAnsi" w:hAnsiTheme="minorHAnsi" w:cstheme="minorHAnsi"/>
          <w:i/>
          <w:iCs/>
          <w:sz w:val="22"/>
          <w:szCs w:val="22"/>
        </w:rPr>
        <w:t>Page 17 of the Policy Wording (</w:t>
      </w:r>
      <w:r w:rsidR="00822F96" w:rsidRPr="00822F9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4842D1" w:rsidRPr="00822F96">
        <w:rPr>
          <w:rFonts w:asciiTheme="minorHAnsi" w:hAnsiTheme="minorHAnsi" w:cstheme="minorHAnsi"/>
          <w:i/>
          <w:iCs/>
          <w:sz w:val="22"/>
          <w:szCs w:val="22"/>
        </w:rPr>
        <w:t>ppendix B) states…</w:t>
      </w:r>
      <w:r w:rsidR="004842D1" w:rsidRPr="00822F96">
        <w:rPr>
          <w:rFonts w:asciiTheme="minorHAnsi" w:hAnsiTheme="minorHAnsi" w:cstheme="minorHAnsi"/>
          <w:sz w:val="22"/>
          <w:szCs w:val="22"/>
        </w:rPr>
        <w:t>’</w:t>
      </w:r>
    </w:p>
    <w:p w14:paraId="4CF279F4" w14:textId="32ABDB64" w:rsidR="005F17B1" w:rsidRPr="00822F96" w:rsidRDefault="005F17B1" w:rsidP="005F17B1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Engage the relevant Lloyd’s Senior Dispute Resolution Officer if you need any support</w:t>
      </w:r>
    </w:p>
    <w:p w14:paraId="2D93AE64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595EF3F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4081137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34892FD7" w14:textId="77777777" w:rsidR="008B171B" w:rsidRPr="00822F96" w:rsidRDefault="008B171B" w:rsidP="00557DA2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0DFD222D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4314CE5F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721FFA2C" w14:textId="473CDA2C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048AB13D" w14:textId="77777777" w:rsidR="0065773B" w:rsidRPr="00822F96" w:rsidRDefault="0065773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4FCD6132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151694B5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140C222B" w14:textId="36F56FB9" w:rsidR="008B171B" w:rsidRPr="00822F96" w:rsidRDefault="005F17B1" w:rsidP="008B171B">
      <w:pPr>
        <w:jc w:val="right"/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lastRenderedPageBreak/>
        <w:t>Letterhead of</w:t>
      </w:r>
      <w:r w:rsidR="008B171B"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CH</w:t>
      </w:r>
      <w:r w:rsidR="008B171B"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/DCA/ </w:t>
      </w:r>
    </w:p>
    <w:p w14:paraId="30878B63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entity handling complaint</w:t>
      </w:r>
    </w:p>
    <w:p w14:paraId="5AFB1E8B" w14:textId="77777777" w:rsidR="008B171B" w:rsidRPr="00822F96" w:rsidRDefault="008B171B" w:rsidP="008B171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B9DD54" w14:textId="77777777" w:rsidR="00FF3C6B" w:rsidRPr="00822F96" w:rsidRDefault="00FF3C6B" w:rsidP="008B171B">
      <w:pPr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</w:p>
    <w:p w14:paraId="6ECFA292" w14:textId="48795B8C" w:rsidR="008B171B" w:rsidRPr="00822F96" w:rsidRDefault="008B171B" w:rsidP="008B171B">
      <w:pPr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Insert date</w:t>
      </w:r>
    </w:p>
    <w:p w14:paraId="2E9CA058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49C0199F" w14:textId="45E7C4BB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Australian Financial Complaints Authority (‘AFCA’)</w:t>
      </w:r>
    </w:p>
    <w:p w14:paraId="32290D5B" w14:textId="77777777" w:rsid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GPO Box 3</w:t>
      </w:r>
    </w:p>
    <w:p w14:paraId="4D9ADB04" w14:textId="464F871F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Melbourne</w:t>
      </w:r>
      <w:r w:rsidR="00822F96">
        <w:rPr>
          <w:rFonts w:asciiTheme="minorHAnsi" w:hAnsiTheme="minorHAnsi" w:cstheme="minorHAnsi"/>
          <w:sz w:val="22"/>
          <w:szCs w:val="22"/>
        </w:rPr>
        <w:t xml:space="preserve"> </w:t>
      </w:r>
      <w:r w:rsidRPr="00822F96">
        <w:rPr>
          <w:rFonts w:asciiTheme="minorHAnsi" w:hAnsiTheme="minorHAnsi" w:cstheme="minorHAnsi"/>
          <w:sz w:val="22"/>
          <w:szCs w:val="22"/>
        </w:rPr>
        <w:t>VIC 3001</w:t>
      </w:r>
    </w:p>
    <w:p w14:paraId="48D118D8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18B301FE" w14:textId="46AD4EE0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54982C19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Dear AFCA,</w:t>
      </w:r>
    </w:p>
    <w:p w14:paraId="6CE094FE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7EC0D346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 xml:space="preserve">We submit the following information for your review. </w:t>
      </w:r>
    </w:p>
    <w:p w14:paraId="46762023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3CBBB45C" w14:textId="77777777" w:rsidR="008B171B" w:rsidRPr="00822F96" w:rsidRDefault="008B171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Complaint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8"/>
        <w:gridCol w:w="4501"/>
      </w:tblGrid>
      <w:tr w:rsidR="008B171B" w:rsidRPr="00822F96" w14:paraId="3A5F3B05" w14:textId="77777777" w:rsidTr="00336871">
        <w:tc>
          <w:tcPr>
            <w:tcW w:w="4513" w:type="dxa"/>
          </w:tcPr>
          <w:p w14:paraId="0802F881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 xml:space="preserve">Financial Firm </w:t>
            </w:r>
          </w:p>
        </w:tc>
        <w:tc>
          <w:tcPr>
            <w:tcW w:w="4622" w:type="dxa"/>
          </w:tcPr>
          <w:p w14:paraId="7504207C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Lloyd’s Australia Limited</w:t>
            </w:r>
          </w:p>
        </w:tc>
      </w:tr>
      <w:tr w:rsidR="008B171B" w:rsidRPr="00822F96" w14:paraId="3D57659D" w14:textId="77777777" w:rsidTr="00336871">
        <w:tc>
          <w:tcPr>
            <w:tcW w:w="4513" w:type="dxa"/>
          </w:tcPr>
          <w:p w14:paraId="7267FFF6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Insurer</w:t>
            </w:r>
          </w:p>
        </w:tc>
        <w:tc>
          <w:tcPr>
            <w:tcW w:w="4622" w:type="dxa"/>
          </w:tcPr>
          <w:p w14:paraId="1AD375B5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1B" w:rsidRPr="00822F96" w14:paraId="7079A7CB" w14:textId="77777777" w:rsidTr="00336871">
        <w:tc>
          <w:tcPr>
            <w:tcW w:w="4513" w:type="dxa"/>
          </w:tcPr>
          <w:p w14:paraId="5CE20F1A" w14:textId="382B0E22" w:rsidR="008B171B" w:rsidRPr="00822F96" w:rsidRDefault="00822F96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Insurer’s representative</w:t>
            </w:r>
          </w:p>
        </w:tc>
        <w:tc>
          <w:tcPr>
            <w:tcW w:w="4622" w:type="dxa"/>
          </w:tcPr>
          <w:p w14:paraId="676A34D4" w14:textId="2A09B0AE" w:rsidR="008B171B" w:rsidRPr="00822F96" w:rsidRDefault="00822F96" w:rsidP="00336871">
            <w:pPr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Name of person submitting the response</w:t>
            </w:r>
          </w:p>
        </w:tc>
      </w:tr>
      <w:tr w:rsidR="008B171B" w:rsidRPr="00822F96" w14:paraId="6F4235B6" w14:textId="77777777" w:rsidTr="00336871">
        <w:tc>
          <w:tcPr>
            <w:tcW w:w="4513" w:type="dxa"/>
          </w:tcPr>
          <w:p w14:paraId="0626FD7A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Claim reference</w:t>
            </w:r>
          </w:p>
        </w:tc>
        <w:tc>
          <w:tcPr>
            <w:tcW w:w="4622" w:type="dxa"/>
          </w:tcPr>
          <w:p w14:paraId="20D6E5FF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1B" w:rsidRPr="00822F96" w14:paraId="6F638304" w14:textId="77777777" w:rsidTr="00336871">
        <w:tc>
          <w:tcPr>
            <w:tcW w:w="4513" w:type="dxa"/>
          </w:tcPr>
          <w:p w14:paraId="5A136B4C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Complainant’s name</w:t>
            </w:r>
          </w:p>
        </w:tc>
        <w:tc>
          <w:tcPr>
            <w:tcW w:w="4622" w:type="dxa"/>
          </w:tcPr>
          <w:p w14:paraId="360816E8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1B" w:rsidRPr="00822F96" w14:paraId="25CA6C27" w14:textId="77777777" w:rsidTr="00336871">
        <w:tc>
          <w:tcPr>
            <w:tcW w:w="4513" w:type="dxa"/>
          </w:tcPr>
          <w:p w14:paraId="57A62E42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Complainant’s representative</w:t>
            </w:r>
          </w:p>
        </w:tc>
        <w:tc>
          <w:tcPr>
            <w:tcW w:w="4622" w:type="dxa"/>
          </w:tcPr>
          <w:p w14:paraId="1D4972EB" w14:textId="77777777" w:rsidR="008B171B" w:rsidRPr="00822F96" w:rsidRDefault="008B171B" w:rsidP="0033687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If applicable, may be a broker</w:t>
            </w:r>
          </w:p>
        </w:tc>
      </w:tr>
      <w:tr w:rsidR="008B171B" w:rsidRPr="00822F96" w14:paraId="41FADAE6" w14:textId="77777777" w:rsidTr="00336871">
        <w:tc>
          <w:tcPr>
            <w:tcW w:w="4513" w:type="dxa"/>
          </w:tcPr>
          <w:p w14:paraId="61A3D248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AFCA reference</w:t>
            </w:r>
          </w:p>
        </w:tc>
        <w:tc>
          <w:tcPr>
            <w:tcW w:w="4622" w:type="dxa"/>
          </w:tcPr>
          <w:p w14:paraId="64C7043F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C869D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28B525CE" w14:textId="77777777" w:rsidR="008B171B" w:rsidRPr="00822F96" w:rsidRDefault="008B171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Policy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  <w:gridCol w:w="4496"/>
      </w:tblGrid>
      <w:tr w:rsidR="008B171B" w:rsidRPr="00822F96" w14:paraId="492D6405" w14:textId="77777777" w:rsidTr="00336871">
        <w:tc>
          <w:tcPr>
            <w:tcW w:w="4513" w:type="dxa"/>
          </w:tcPr>
          <w:p w14:paraId="48781179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Insured</w:t>
            </w:r>
          </w:p>
        </w:tc>
        <w:tc>
          <w:tcPr>
            <w:tcW w:w="4622" w:type="dxa"/>
          </w:tcPr>
          <w:p w14:paraId="41432D4B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1B" w:rsidRPr="00822F96" w14:paraId="1AC52B63" w14:textId="77777777" w:rsidTr="00336871">
        <w:tc>
          <w:tcPr>
            <w:tcW w:w="4513" w:type="dxa"/>
          </w:tcPr>
          <w:p w14:paraId="6D63027C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Policy number</w:t>
            </w:r>
          </w:p>
        </w:tc>
        <w:tc>
          <w:tcPr>
            <w:tcW w:w="4622" w:type="dxa"/>
          </w:tcPr>
          <w:p w14:paraId="0A6333C1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1B" w:rsidRPr="00822F96" w14:paraId="17B60187" w14:textId="77777777" w:rsidTr="00336871">
        <w:tc>
          <w:tcPr>
            <w:tcW w:w="4513" w:type="dxa"/>
          </w:tcPr>
          <w:p w14:paraId="191E3841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Policy Type</w:t>
            </w:r>
          </w:p>
        </w:tc>
        <w:tc>
          <w:tcPr>
            <w:tcW w:w="4622" w:type="dxa"/>
          </w:tcPr>
          <w:p w14:paraId="3760CD70" w14:textId="77777777" w:rsidR="008B171B" w:rsidRPr="00822F96" w:rsidRDefault="008B171B" w:rsidP="0033687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B171B" w:rsidRPr="00822F96" w14:paraId="1E1186E1" w14:textId="77777777" w:rsidTr="00336871">
        <w:tc>
          <w:tcPr>
            <w:tcW w:w="4513" w:type="dxa"/>
          </w:tcPr>
          <w:p w14:paraId="3C656897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Insured Property</w:t>
            </w:r>
          </w:p>
        </w:tc>
        <w:tc>
          <w:tcPr>
            <w:tcW w:w="4622" w:type="dxa"/>
          </w:tcPr>
          <w:p w14:paraId="196A4CD0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1B" w:rsidRPr="00822F96" w14:paraId="7EFBF2D4" w14:textId="77777777" w:rsidTr="00336871">
        <w:tc>
          <w:tcPr>
            <w:tcW w:w="4513" w:type="dxa"/>
          </w:tcPr>
          <w:p w14:paraId="21702BE0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F96">
              <w:rPr>
                <w:rFonts w:asciiTheme="minorHAnsi" w:hAnsiTheme="minorHAnsi" w:cstheme="minorHAnsi"/>
                <w:sz w:val="22"/>
                <w:szCs w:val="22"/>
              </w:rPr>
              <w:t>Excess</w:t>
            </w:r>
          </w:p>
        </w:tc>
        <w:tc>
          <w:tcPr>
            <w:tcW w:w="4622" w:type="dxa"/>
          </w:tcPr>
          <w:p w14:paraId="674FE473" w14:textId="77777777" w:rsidR="008B171B" w:rsidRPr="00822F96" w:rsidRDefault="008B171B" w:rsidP="00336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F808E" w14:textId="77777777" w:rsidR="008B171B" w:rsidRPr="00822F96" w:rsidRDefault="008B171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9A371F" w14:textId="774173EF" w:rsidR="005B78C2" w:rsidRPr="00822F96" w:rsidRDefault="005B78C2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Complaint summary</w:t>
      </w:r>
    </w:p>
    <w:p w14:paraId="5040ACDC" w14:textId="73FF99FC" w:rsidR="0065773B" w:rsidRPr="00822F96" w:rsidRDefault="005B78C2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Insert a brief summary of the complaint and the issues in dispute.</w:t>
      </w:r>
      <w:r w:rsidRPr="00822F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4B568D7" w14:textId="77777777" w:rsidR="00822F96" w:rsidRDefault="00822F96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EC01631" w14:textId="7022DE41" w:rsidR="0065773B" w:rsidRPr="00822F96" w:rsidRDefault="005B78C2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sz w:val="22"/>
          <w:szCs w:val="22"/>
        </w:rPr>
        <w:t xml:space="preserve">For example: </w:t>
      </w:r>
    </w:p>
    <w:p w14:paraId="04967725" w14:textId="5C34557A" w:rsidR="005B78C2" w:rsidRPr="00822F96" w:rsidRDefault="005B78C2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sz w:val="22"/>
          <w:szCs w:val="22"/>
        </w:rPr>
        <w:t>“The Complain</w:t>
      </w:r>
      <w:r w:rsidR="0065773B" w:rsidRPr="00822F96">
        <w:rPr>
          <w:rFonts w:asciiTheme="minorHAnsi" w:hAnsiTheme="minorHAnsi" w:cstheme="minorHAnsi"/>
          <w:i/>
          <w:iCs/>
          <w:sz w:val="22"/>
          <w:szCs w:val="22"/>
        </w:rPr>
        <w:t>an</w:t>
      </w:r>
      <w:r w:rsidRPr="00822F96">
        <w:rPr>
          <w:rFonts w:asciiTheme="minorHAnsi" w:hAnsiTheme="minorHAnsi" w:cstheme="minorHAnsi"/>
          <w:i/>
          <w:iCs/>
          <w:sz w:val="22"/>
          <w:szCs w:val="22"/>
        </w:rPr>
        <w:t xml:space="preserve">t held a XXX insurance policy valid from X date to X date. The Complainant lodged a claim on X date. The claim has been denied/partially </w:t>
      </w:r>
      <w:r w:rsidR="0065773B" w:rsidRPr="00822F96">
        <w:rPr>
          <w:rFonts w:asciiTheme="minorHAnsi" w:hAnsiTheme="minorHAnsi" w:cstheme="minorHAnsi"/>
          <w:i/>
          <w:iCs/>
          <w:sz w:val="22"/>
          <w:szCs w:val="22"/>
        </w:rPr>
        <w:t>declined</w:t>
      </w:r>
      <w:r w:rsidRPr="00822F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364AFEF9" w14:textId="77777777" w:rsidR="0065773B" w:rsidRPr="00822F96" w:rsidRDefault="0065773B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279CD99" w14:textId="57BE302C" w:rsidR="005B78C2" w:rsidRPr="00822F96" w:rsidRDefault="005B78C2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sz w:val="22"/>
          <w:szCs w:val="22"/>
        </w:rPr>
        <w:t>The issues in dispute are</w:t>
      </w:r>
    </w:p>
    <w:p w14:paraId="1E5965AD" w14:textId="378A8EF7" w:rsidR="005B78C2" w:rsidRPr="00822F96" w:rsidRDefault="005B78C2" w:rsidP="005B78C2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sz w:val="22"/>
          <w:szCs w:val="22"/>
        </w:rPr>
        <w:t xml:space="preserve">Has the claim been correctly </w:t>
      </w:r>
      <w:r w:rsidR="0065773B" w:rsidRPr="00822F96">
        <w:rPr>
          <w:rFonts w:asciiTheme="minorHAnsi" w:hAnsiTheme="minorHAnsi" w:cstheme="minorHAnsi"/>
          <w:i/>
          <w:iCs/>
          <w:sz w:val="22"/>
          <w:szCs w:val="22"/>
        </w:rPr>
        <w:t>denied</w:t>
      </w:r>
      <w:r w:rsidRPr="00822F96">
        <w:rPr>
          <w:rFonts w:asciiTheme="minorHAnsi" w:hAnsiTheme="minorHAnsi" w:cstheme="minorHAnsi"/>
          <w:i/>
          <w:iCs/>
          <w:sz w:val="22"/>
          <w:szCs w:val="22"/>
        </w:rPr>
        <w:t>/partially declined</w:t>
      </w:r>
      <w:r w:rsidR="002D1333" w:rsidRPr="00822F96">
        <w:rPr>
          <w:rFonts w:asciiTheme="minorHAnsi" w:hAnsiTheme="minorHAnsi" w:cstheme="minorHAnsi"/>
          <w:i/>
          <w:iCs/>
          <w:sz w:val="22"/>
          <w:szCs w:val="22"/>
        </w:rPr>
        <w:t>?</w:t>
      </w:r>
    </w:p>
    <w:p w14:paraId="526DBF67" w14:textId="38D63A6E" w:rsidR="005B78C2" w:rsidRPr="00822F96" w:rsidRDefault="005B78C2" w:rsidP="005B78C2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sz w:val="22"/>
          <w:szCs w:val="22"/>
        </w:rPr>
        <w:t>Have there been delays in the claim handling and is the Complainant entitled to compensation</w:t>
      </w:r>
      <w:r w:rsidR="002D1333" w:rsidRPr="00822F96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Pr="00822F96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32BC34C2" w14:textId="77777777" w:rsidR="005B78C2" w:rsidRPr="00822F96" w:rsidRDefault="005B78C2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83A480" w14:textId="7E4185F0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Complainant’s position</w:t>
      </w:r>
    </w:p>
    <w:p w14:paraId="174A7EF8" w14:textId="3E83B215" w:rsidR="008B171B" w:rsidRPr="00822F96" w:rsidRDefault="008B171B" w:rsidP="008B171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Insert a </w:t>
      </w: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u w:val="single"/>
        </w:rPr>
        <w:t>brief</w:t>
      </w: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paragraph of the complainant’s position. It may be useful to refer to the AFCA referral email and the ‘outcome requested’.</w:t>
      </w:r>
    </w:p>
    <w:p w14:paraId="42A76C1A" w14:textId="060C5357" w:rsidR="0065773B" w:rsidRDefault="0065773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E5D313" w14:textId="08DF48A9" w:rsidR="005F17B1" w:rsidRDefault="005F17B1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F33D2E" w14:textId="77777777" w:rsidR="005F17B1" w:rsidRPr="00822F96" w:rsidRDefault="005F17B1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EC630B" w14:textId="0EE357AE" w:rsidR="008B171B" w:rsidRPr="00822F96" w:rsidRDefault="008B171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lastRenderedPageBreak/>
        <w:t>Financial Firm’s position</w:t>
      </w:r>
    </w:p>
    <w:p w14:paraId="77A071D0" w14:textId="06AD8A36" w:rsidR="008B171B" w:rsidRPr="00822F96" w:rsidRDefault="008B171B" w:rsidP="008B171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Insert a </w:t>
      </w: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u w:val="single"/>
        </w:rPr>
        <w:t>brief</w:t>
      </w: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paragraph of the Financial Firm’s position. It may be useful to refer to the conclusion in the final IDR decision letter.</w:t>
      </w:r>
      <w:r w:rsidR="00FF3C6B"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Also include details of any offer made to resolve the complaint.</w:t>
      </w:r>
    </w:p>
    <w:p w14:paraId="613B2A14" w14:textId="77777777" w:rsidR="008B171B" w:rsidRPr="00822F96" w:rsidRDefault="008B171B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5CA224C" w14:textId="77777777" w:rsidR="008B171B" w:rsidRPr="00822F96" w:rsidRDefault="008B171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Reasons for Financial Firm’s position</w:t>
      </w:r>
    </w:p>
    <w:p w14:paraId="2692A011" w14:textId="6E7C480C" w:rsidR="008B171B" w:rsidRPr="00822F96" w:rsidRDefault="0065773B" w:rsidP="008B171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IMPORTANT</w:t>
      </w:r>
      <w:r w:rsidR="005B78C2"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, this should be consistent or aligned with the IDR decision letter to ensure that the same grounds have been used to maintain the decision.</w:t>
      </w:r>
    </w:p>
    <w:p w14:paraId="70EAAEDC" w14:textId="77777777" w:rsidR="0065773B" w:rsidRPr="00822F96" w:rsidRDefault="0065773B" w:rsidP="008B171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62137993" w14:textId="29091A84" w:rsidR="008B171B" w:rsidRPr="00822F96" w:rsidRDefault="00822F96" w:rsidP="008B171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U</w:t>
      </w:r>
      <w:r w:rsidR="008B171B"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se the following headings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, as appropriate</w:t>
      </w:r>
      <w:r w:rsidR="008B171B"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:</w:t>
      </w:r>
    </w:p>
    <w:p w14:paraId="0A9DCFC1" w14:textId="77777777" w:rsidR="0065773B" w:rsidRPr="00822F96" w:rsidRDefault="0065773B" w:rsidP="008B171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02BEE98" w14:textId="76433038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sz w:val="22"/>
          <w:szCs w:val="22"/>
          <w:u w:val="single"/>
        </w:rPr>
        <w:t>Summary of Facts</w:t>
      </w:r>
    </w:p>
    <w:p w14:paraId="63A59A19" w14:textId="78E2B21E" w:rsidR="005B78C2" w:rsidRPr="00822F96" w:rsidRDefault="005B78C2" w:rsidP="008B17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sz w:val="22"/>
          <w:szCs w:val="22"/>
          <w:u w:val="single"/>
        </w:rPr>
        <w:t>Issues in Dispute</w:t>
      </w:r>
    </w:p>
    <w:p w14:paraId="506D102A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sz w:val="22"/>
          <w:szCs w:val="22"/>
          <w:u w:val="single"/>
        </w:rPr>
        <w:t>Relevant Policy sections</w:t>
      </w:r>
    </w:p>
    <w:p w14:paraId="2D9A00C9" w14:textId="77777777" w:rsidR="000D24BB" w:rsidRPr="00822F96" w:rsidRDefault="008B171B" w:rsidP="008B17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sz w:val="22"/>
          <w:szCs w:val="22"/>
          <w:u w:val="single"/>
        </w:rPr>
        <w:t>Expert reports</w:t>
      </w:r>
    </w:p>
    <w:p w14:paraId="0432D926" w14:textId="081CFABC" w:rsidR="0065773B" w:rsidRPr="00822F96" w:rsidRDefault="000D24BB" w:rsidP="008B17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sz w:val="22"/>
          <w:szCs w:val="22"/>
          <w:u w:val="single"/>
        </w:rPr>
        <w:t>Relevant sections of the Insurance Contracts Act</w:t>
      </w:r>
    </w:p>
    <w:p w14:paraId="6364ACB5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822F96">
        <w:rPr>
          <w:rFonts w:asciiTheme="minorHAnsi" w:hAnsiTheme="minorHAnsi" w:cstheme="minorHAnsi"/>
          <w:sz w:val="22"/>
          <w:szCs w:val="22"/>
          <w:u w:val="single"/>
        </w:rPr>
        <w:t>Conclusion</w:t>
      </w:r>
    </w:p>
    <w:p w14:paraId="2842943E" w14:textId="77777777" w:rsidR="008B171B" w:rsidRPr="00822F96" w:rsidRDefault="008B171B" w:rsidP="008B171B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1D3DDC00" w14:textId="5D4B11B1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A copy of this information and the appendices has been sent to the Complainant/Complainant’s representative.</w:t>
      </w:r>
    </w:p>
    <w:p w14:paraId="692DBECB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1AFD66F0" w14:textId="77777777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  <w:r w:rsidRPr="00822F96">
        <w:rPr>
          <w:rFonts w:asciiTheme="minorHAnsi" w:hAnsiTheme="minorHAnsi" w:cstheme="minorHAnsi"/>
          <w:sz w:val="22"/>
          <w:szCs w:val="22"/>
        </w:rPr>
        <w:t>Yours faithfully,</w:t>
      </w:r>
    </w:p>
    <w:p w14:paraId="0662BBF7" w14:textId="5F1AAA96" w:rsidR="008B171B" w:rsidRPr="00822F96" w:rsidRDefault="008B171B" w:rsidP="008B171B">
      <w:pPr>
        <w:rPr>
          <w:rFonts w:asciiTheme="minorHAnsi" w:hAnsiTheme="minorHAnsi" w:cstheme="minorHAnsi"/>
          <w:sz w:val="22"/>
          <w:szCs w:val="22"/>
        </w:rPr>
      </w:pPr>
    </w:p>
    <w:p w14:paraId="14D19DBE" w14:textId="2EF18702" w:rsidR="008B171B" w:rsidRPr="00822F96" w:rsidRDefault="008B171B" w:rsidP="008B171B">
      <w:pPr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Insert </w:t>
      </w:r>
      <w:r w:rsid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name/</w:t>
      </w:r>
      <w:r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signature of </w:t>
      </w:r>
      <w:r w:rsidR="0003328C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CH/DCA </w:t>
      </w:r>
      <w:r w:rsid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complaint</w:t>
      </w:r>
      <w:r w:rsidRPr="00822F96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 handler </w:t>
      </w:r>
      <w:r w:rsidR="0003328C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or person submitting the response</w:t>
      </w:r>
    </w:p>
    <w:p w14:paraId="3CF076C1" w14:textId="77777777" w:rsidR="00FF3C6B" w:rsidRPr="00822F96" w:rsidRDefault="00FF3C6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55BB84" w14:textId="77777777" w:rsidR="00FF3C6B" w:rsidRPr="00822F96" w:rsidRDefault="00FF3C6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7C9BCB" w14:textId="77777777" w:rsidR="00FF3C6B" w:rsidRPr="00822F96" w:rsidRDefault="00FF3C6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1CCCB1" w14:textId="77777777" w:rsidR="00FF3C6B" w:rsidRPr="00822F96" w:rsidRDefault="00FF3C6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9D3F8A" w14:textId="6337D8E2" w:rsidR="008B171B" w:rsidRPr="00822F96" w:rsidRDefault="008B171B" w:rsidP="008B17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sz w:val="22"/>
          <w:szCs w:val="22"/>
        </w:rPr>
        <w:t>Appendices</w:t>
      </w:r>
    </w:p>
    <w:p w14:paraId="62527BA0" w14:textId="22D6926F" w:rsidR="0065773B" w:rsidRDefault="0065773B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822F96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Ensure all the relevant documents are included. These will differ depending on the claim type i.e. claim/policy/service, etc. </w:t>
      </w:r>
    </w:p>
    <w:p w14:paraId="1CBC7AC7" w14:textId="05BEDE97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066E0679" w14:textId="190903A1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Appendices should be</w:t>
      </w:r>
      <w:r w:rsidR="00902B1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presented as separate PDF documents and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ordered as follows:</w:t>
      </w:r>
    </w:p>
    <w:p w14:paraId="37904133" w14:textId="342214A0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</w:p>
    <w:p w14:paraId="1A7E0276" w14:textId="7D1A9026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Appendix A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Claim form</w:t>
      </w:r>
    </w:p>
    <w:p w14:paraId="7F190F31" w14:textId="5C0D60A7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Appendix B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Policy wording</w:t>
      </w:r>
    </w:p>
    <w:p w14:paraId="0841DD0F" w14:textId="556F6E51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Appendix C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Policy schedule</w:t>
      </w:r>
    </w:p>
    <w:p w14:paraId="2EE7FDE9" w14:textId="78EC9303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Appendix D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IDR decision letter</w:t>
      </w:r>
    </w:p>
    <w:p w14:paraId="26D0D3C6" w14:textId="06863F1B" w:rsidR="007E6B8F" w:rsidRDefault="007E6B8F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Appendix E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  <w:t>Emails to and from Complainant</w:t>
      </w:r>
    </w:p>
    <w:p w14:paraId="672F9851" w14:textId="50A983DB" w:rsidR="007E6B8F" w:rsidRDefault="007E6B8F" w:rsidP="00902B1F">
      <w:pPr>
        <w:ind w:left="2160" w:hanging="1440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Etc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</w:r>
      <w:r w:rsidR="00276FD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Assessment reports, </w:t>
      </w:r>
      <w:r w:rsidR="00902B1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repair quotations, </w:t>
      </w:r>
      <w:r w:rsidR="00276FD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proof of ownership, </w:t>
      </w:r>
      <w:r w:rsidR="00902B1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call transcripts, </w:t>
      </w:r>
      <w:r w:rsidR="00276FD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etc</w:t>
      </w:r>
      <w:r w:rsidR="00902B1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are</w:t>
      </w:r>
      <w:r w:rsidR="00276FD1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to be separate appendices</w:t>
      </w:r>
    </w:p>
    <w:p w14:paraId="7E8A1D75" w14:textId="720BF02C" w:rsidR="00276FD1" w:rsidRDefault="00276FD1" w:rsidP="0065773B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</w:r>
    </w:p>
    <w:p w14:paraId="3701D672" w14:textId="799E37BD" w:rsidR="008B171B" w:rsidRPr="00822F96" w:rsidRDefault="00276FD1" w:rsidP="008B17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ab/>
      </w:r>
    </w:p>
    <w:p w14:paraId="6D4C3709" w14:textId="4C49D8A2" w:rsidR="008B171B" w:rsidRPr="00822F96" w:rsidRDefault="008B171B" w:rsidP="008B171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2F96">
        <w:rPr>
          <w:rFonts w:asciiTheme="minorHAnsi" w:hAnsiTheme="minorHAnsi" w:cstheme="minorHAnsi"/>
          <w:b/>
          <w:bCs/>
          <w:color w:val="FF0000"/>
          <w:sz w:val="22"/>
          <w:szCs w:val="22"/>
        </w:rPr>
        <w:t>IMPORTANT</w:t>
      </w:r>
      <w:r w:rsidRPr="00822F96">
        <w:rPr>
          <w:rFonts w:asciiTheme="minorHAnsi" w:hAnsiTheme="minorHAnsi" w:cstheme="minorHAnsi"/>
          <w:color w:val="FF0000"/>
          <w:sz w:val="22"/>
          <w:szCs w:val="22"/>
        </w:rPr>
        <w:t xml:space="preserve">: The appendices </w:t>
      </w:r>
      <w:r w:rsidRPr="00822F96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must</w:t>
      </w:r>
      <w:r w:rsidRPr="00822F96">
        <w:rPr>
          <w:rFonts w:asciiTheme="minorHAnsi" w:hAnsiTheme="minorHAnsi" w:cstheme="minorHAnsi"/>
          <w:color w:val="FF0000"/>
          <w:sz w:val="22"/>
          <w:szCs w:val="22"/>
        </w:rPr>
        <w:t xml:space="preserve"> be provided </w:t>
      </w:r>
      <w:r w:rsidR="00936CFC" w:rsidRPr="00822F96">
        <w:rPr>
          <w:rFonts w:asciiTheme="minorHAnsi" w:hAnsiTheme="minorHAnsi" w:cstheme="minorHAnsi"/>
          <w:color w:val="FF0000"/>
          <w:sz w:val="22"/>
          <w:szCs w:val="22"/>
        </w:rPr>
        <w:t xml:space="preserve">to Lloyd’s </w:t>
      </w:r>
      <w:r w:rsidRPr="00822F96">
        <w:rPr>
          <w:rFonts w:asciiTheme="minorHAnsi" w:hAnsiTheme="minorHAnsi" w:cstheme="minorHAnsi"/>
          <w:color w:val="FF0000"/>
          <w:sz w:val="22"/>
          <w:szCs w:val="22"/>
        </w:rPr>
        <w:t xml:space="preserve">with the draft EDR submission </w:t>
      </w:r>
      <w:r w:rsidR="005F17B1">
        <w:rPr>
          <w:rFonts w:asciiTheme="minorHAnsi" w:hAnsiTheme="minorHAnsi" w:cstheme="minorHAnsi"/>
          <w:color w:val="FF0000"/>
          <w:sz w:val="22"/>
          <w:szCs w:val="22"/>
        </w:rPr>
        <w:t xml:space="preserve">as </w:t>
      </w:r>
      <w:r w:rsidR="005F17B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separate </w:t>
      </w:r>
      <w:r w:rsidR="00902B1F">
        <w:rPr>
          <w:rFonts w:asciiTheme="minorHAnsi" w:hAnsiTheme="minorHAnsi" w:cstheme="minorHAnsi"/>
          <w:b/>
          <w:bCs/>
          <w:color w:val="FF0000"/>
          <w:sz w:val="22"/>
          <w:szCs w:val="22"/>
        </w:rPr>
        <w:t>PDF</w:t>
      </w:r>
      <w:r w:rsidRPr="00822F9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F17B1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documents</w:t>
      </w:r>
      <w:r w:rsidRPr="00822F96">
        <w:rPr>
          <w:rFonts w:asciiTheme="minorHAnsi" w:hAnsiTheme="minorHAnsi" w:cstheme="minorHAnsi"/>
          <w:color w:val="FF0000"/>
          <w:sz w:val="22"/>
          <w:szCs w:val="22"/>
        </w:rPr>
        <w:t xml:space="preserve"> and named Appendix A, Appendix B, etc.</w:t>
      </w:r>
    </w:p>
    <w:sectPr w:rsidR="008B171B" w:rsidRPr="00822F96" w:rsidSect="00336D64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1440" w:bottom="1440" w:left="1440" w:header="720" w:footer="3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5CA6" w14:textId="77777777" w:rsidR="00D014DC" w:rsidRDefault="00D014DC" w:rsidP="000F3D19">
      <w:r>
        <w:separator/>
      </w:r>
    </w:p>
  </w:endnote>
  <w:endnote w:type="continuationSeparator" w:id="0">
    <w:p w14:paraId="706EF533" w14:textId="77777777" w:rsidR="00D014DC" w:rsidRDefault="00D014DC" w:rsidP="000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2E41" w14:textId="77777777" w:rsidR="00C85AC6" w:rsidRDefault="00C85A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B02B932" wp14:editId="1287AB4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1ebc493f8f291c49ebcb714f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FA7D9" w14:textId="77777777" w:rsidR="00C85AC6" w:rsidRPr="00C85AC6" w:rsidRDefault="00C85AC6" w:rsidP="00C85A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85AC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2B932" id="_x0000_t202" coordsize="21600,21600" o:spt="202" path="m,l,21600r21600,l21600,xe">
              <v:stroke joinstyle="miter"/>
              <v:path gradientshapeok="t" o:connecttype="rect"/>
            </v:shapetype>
            <v:shape id="MSIPCM1ebc493f8f291c49ebcb714f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" o:allowincell="f" filled="f" stroked="f" strokeweight=".5pt">
              <v:textbox inset=",0,,0">
                <w:txbxContent>
                  <w:p w14:paraId="7EEFA7D9" w14:textId="77777777" w:rsidR="00C85AC6" w:rsidRPr="00C85AC6" w:rsidRDefault="00C85AC6" w:rsidP="00C85A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85AC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BE90" w14:textId="33BADDC6" w:rsidR="00336D64" w:rsidRDefault="008B17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2DAC794" wp14:editId="07F6E6A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f75f455eaedca196b56e3dfc" descr="{&quot;HashCode&quot;:-82992868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DBA10D" w14:textId="7166DB82" w:rsidR="008B171B" w:rsidRPr="008B171B" w:rsidRDefault="008B171B" w:rsidP="008B171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B17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AC794" id="_x0000_t202" coordsize="21600,21600" o:spt="202" path="m,l,21600r21600,l21600,xe">
              <v:stroke joinstyle="miter"/>
              <v:path gradientshapeok="t" o:connecttype="rect"/>
            </v:shapetype>
            <v:shape id="MSIPCMf75f455eaedca196b56e3dfc" o:spid="_x0000_s1027" type="#_x0000_t202" alt="{&quot;HashCode&quot;:-829928686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CjtQu5sQIAAE8FAAAO&#10;AAAAAAAAAAAAAAAAAC4CAABkcnMvZTJvRG9jLnhtbFBLAQItABQABgAIAAAAIQARcqd+3wAAAAsB&#10;AAAPAAAAAAAAAAAAAAAAAAsFAABkcnMvZG93bnJldi54bWxQSwUGAAAAAAQABADzAAAAFwYAAAAA&#10;" o:allowincell="f" filled="f" stroked="f" strokeweight=".5pt">
              <v:textbox inset=",0,,0">
                <w:txbxContent>
                  <w:p w14:paraId="01DBA10D" w14:textId="7166DB82" w:rsidR="008B171B" w:rsidRPr="008B171B" w:rsidRDefault="008B171B" w:rsidP="008B171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B171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BFFC" w14:textId="77777777" w:rsidR="00D014DC" w:rsidRDefault="00D014DC" w:rsidP="000F3D19">
      <w:r>
        <w:separator/>
      </w:r>
    </w:p>
  </w:footnote>
  <w:footnote w:type="continuationSeparator" w:id="0">
    <w:p w14:paraId="4E854926" w14:textId="77777777" w:rsidR="00D014DC" w:rsidRDefault="00D014DC" w:rsidP="000F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7AC96" w14:textId="77777777" w:rsidR="00336D64" w:rsidRPr="00336D64" w:rsidRDefault="00336D64">
    <w:pPr>
      <w:pStyle w:val="Header"/>
      <w:rPr>
        <w:b/>
      </w:rPr>
    </w:pPr>
    <w:r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03646FF1" wp14:editId="3F271FFB">
          <wp:simplePos x="0" y="0"/>
          <wp:positionH relativeFrom="page">
            <wp:posOffset>5941060</wp:posOffset>
          </wp:positionH>
          <wp:positionV relativeFrom="page">
            <wp:posOffset>320675</wp:posOffset>
          </wp:positionV>
          <wp:extent cx="1296000" cy="522000"/>
          <wp:effectExtent l="0" t="0" r="0" b="0"/>
          <wp:wrapNone/>
          <wp:docPr id="2" name="Picture 2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100mm_NONBLEED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4AFD" w14:textId="77777777" w:rsidR="00A04D66" w:rsidRDefault="00A04D66">
    <w:pPr>
      <w:pStyle w:val="Header"/>
    </w:pPr>
    <w:r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63360" behindDoc="0" locked="0" layoutInCell="1" allowOverlap="1" wp14:anchorId="79C27CC9" wp14:editId="353A1B7D">
          <wp:simplePos x="0" y="0"/>
          <wp:positionH relativeFrom="page">
            <wp:posOffset>5941060</wp:posOffset>
          </wp:positionH>
          <wp:positionV relativeFrom="page">
            <wp:posOffset>320675</wp:posOffset>
          </wp:positionV>
          <wp:extent cx="1296000" cy="522000"/>
          <wp:effectExtent l="0" t="0" r="0" b="0"/>
          <wp:wrapNone/>
          <wp:docPr id="1" name="Picture 1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100mm_NONBLEED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8642303"/>
    <w:multiLevelType w:val="hybridMultilevel"/>
    <w:tmpl w:val="37EA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FE0919"/>
    <w:multiLevelType w:val="hybridMultilevel"/>
    <w:tmpl w:val="4BD0DDF8"/>
    <w:lvl w:ilvl="0" w:tplc="177E8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A31"/>
    <w:multiLevelType w:val="hybridMultilevel"/>
    <w:tmpl w:val="0174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C14"/>
    <w:multiLevelType w:val="hybridMultilevel"/>
    <w:tmpl w:val="2C7A8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334"/>
    <w:multiLevelType w:val="hybridMultilevel"/>
    <w:tmpl w:val="C8D0922E"/>
    <w:lvl w:ilvl="0" w:tplc="48E27D5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911AD"/>
    <w:multiLevelType w:val="hybridMultilevel"/>
    <w:tmpl w:val="AA8A03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0941"/>
    <w:multiLevelType w:val="hybridMultilevel"/>
    <w:tmpl w:val="7E7A90D6"/>
    <w:lvl w:ilvl="0" w:tplc="88A80B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42F6B"/>
    <w:multiLevelType w:val="hybridMultilevel"/>
    <w:tmpl w:val="C584D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2" w15:restartNumberingAfterBreak="0">
    <w:nsid w:val="4F7917C0"/>
    <w:multiLevelType w:val="hybridMultilevel"/>
    <w:tmpl w:val="C292E95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C7114"/>
    <w:multiLevelType w:val="hybridMultilevel"/>
    <w:tmpl w:val="AA8AFC7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1"/>
  </w:num>
  <w:num w:numId="15">
    <w:abstractNumId w:val="0"/>
  </w:num>
  <w:num w:numId="16">
    <w:abstractNumId w:val="14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14"/>
  </w:num>
  <w:num w:numId="22">
    <w:abstractNumId w:val="14"/>
  </w:num>
  <w:num w:numId="23">
    <w:abstractNumId w:val="11"/>
  </w:num>
  <w:num w:numId="24">
    <w:abstractNumId w:val="11"/>
  </w:num>
  <w:num w:numId="25">
    <w:abstractNumId w:val="1"/>
  </w:num>
  <w:num w:numId="26">
    <w:abstractNumId w:val="11"/>
  </w:num>
  <w:num w:numId="27">
    <w:abstractNumId w:val="1"/>
  </w:num>
  <w:num w:numId="28">
    <w:abstractNumId w:val="0"/>
  </w:num>
  <w:num w:numId="29">
    <w:abstractNumId w:val="14"/>
  </w:num>
  <w:num w:numId="30">
    <w:abstractNumId w:val="3"/>
  </w:num>
  <w:num w:numId="31">
    <w:abstractNumId w:val="3"/>
  </w:num>
  <w:num w:numId="32">
    <w:abstractNumId w:val="3"/>
  </w:num>
  <w:num w:numId="33">
    <w:abstractNumId w:val="11"/>
  </w:num>
  <w:num w:numId="34">
    <w:abstractNumId w:val="11"/>
  </w:num>
  <w:num w:numId="35">
    <w:abstractNumId w:val="1"/>
  </w:num>
  <w:num w:numId="36">
    <w:abstractNumId w:val="0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2"/>
  </w:num>
  <w:num w:numId="42">
    <w:abstractNumId w:val="9"/>
  </w:num>
  <w:num w:numId="43">
    <w:abstractNumId w:val="6"/>
  </w:num>
  <w:num w:numId="44">
    <w:abstractNumId w:val="5"/>
  </w:num>
  <w:num w:numId="45">
    <w:abstractNumId w:val="7"/>
  </w:num>
  <w:num w:numId="46">
    <w:abstractNumId w:val="13"/>
  </w:num>
  <w:num w:numId="47">
    <w:abstractNumId w:val="10"/>
  </w:num>
  <w:num w:numId="48">
    <w:abstractNumId w:val="12"/>
  </w:num>
  <w:num w:numId="49">
    <w:abstractNumId w:val="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9"/>
    <w:rsid w:val="00002B0C"/>
    <w:rsid w:val="00021963"/>
    <w:rsid w:val="0003328C"/>
    <w:rsid w:val="00035F91"/>
    <w:rsid w:val="00046CF2"/>
    <w:rsid w:val="00046FB7"/>
    <w:rsid w:val="00051F43"/>
    <w:rsid w:val="0005374D"/>
    <w:rsid w:val="0006130C"/>
    <w:rsid w:val="00061DCC"/>
    <w:rsid w:val="00063780"/>
    <w:rsid w:val="00064F71"/>
    <w:rsid w:val="00082D11"/>
    <w:rsid w:val="00086472"/>
    <w:rsid w:val="000A6214"/>
    <w:rsid w:val="000B1DD4"/>
    <w:rsid w:val="000B1F5B"/>
    <w:rsid w:val="000B77D7"/>
    <w:rsid w:val="000C6BB0"/>
    <w:rsid w:val="000D0CD9"/>
    <w:rsid w:val="000D24BB"/>
    <w:rsid w:val="000D737F"/>
    <w:rsid w:val="000E09F5"/>
    <w:rsid w:val="000E3977"/>
    <w:rsid w:val="000E70C9"/>
    <w:rsid w:val="000F3D19"/>
    <w:rsid w:val="000F78FA"/>
    <w:rsid w:val="001047D7"/>
    <w:rsid w:val="00110099"/>
    <w:rsid w:val="00117E37"/>
    <w:rsid w:val="001406C5"/>
    <w:rsid w:val="00144600"/>
    <w:rsid w:val="00156E27"/>
    <w:rsid w:val="00160588"/>
    <w:rsid w:val="00166C37"/>
    <w:rsid w:val="00180F20"/>
    <w:rsid w:val="001B2EF9"/>
    <w:rsid w:val="001B3CAD"/>
    <w:rsid w:val="001E49A4"/>
    <w:rsid w:val="001F1350"/>
    <w:rsid w:val="0020520C"/>
    <w:rsid w:val="00205243"/>
    <w:rsid w:val="00207F67"/>
    <w:rsid w:val="00210C18"/>
    <w:rsid w:val="0021698F"/>
    <w:rsid w:val="002243F4"/>
    <w:rsid w:val="00227D85"/>
    <w:rsid w:val="00240BF6"/>
    <w:rsid w:val="0024225C"/>
    <w:rsid w:val="002434E6"/>
    <w:rsid w:val="002637D7"/>
    <w:rsid w:val="00270D80"/>
    <w:rsid w:val="002722C1"/>
    <w:rsid w:val="00276FD1"/>
    <w:rsid w:val="00281C97"/>
    <w:rsid w:val="0028485C"/>
    <w:rsid w:val="00293A8A"/>
    <w:rsid w:val="00294750"/>
    <w:rsid w:val="002A4581"/>
    <w:rsid w:val="002A4DB9"/>
    <w:rsid w:val="002B53CA"/>
    <w:rsid w:val="002C349C"/>
    <w:rsid w:val="002D0C54"/>
    <w:rsid w:val="002D1333"/>
    <w:rsid w:val="002E0B08"/>
    <w:rsid w:val="002E6E5A"/>
    <w:rsid w:val="002F54A9"/>
    <w:rsid w:val="002F7D45"/>
    <w:rsid w:val="00300F41"/>
    <w:rsid w:val="00335037"/>
    <w:rsid w:val="00336D64"/>
    <w:rsid w:val="00342009"/>
    <w:rsid w:val="0034797A"/>
    <w:rsid w:val="00353959"/>
    <w:rsid w:val="00354FD4"/>
    <w:rsid w:val="00367701"/>
    <w:rsid w:val="003744E8"/>
    <w:rsid w:val="0037642C"/>
    <w:rsid w:val="003802DE"/>
    <w:rsid w:val="003A64FF"/>
    <w:rsid w:val="003D3FF8"/>
    <w:rsid w:val="003D4D99"/>
    <w:rsid w:val="003D7A91"/>
    <w:rsid w:val="003D7F23"/>
    <w:rsid w:val="003F08B9"/>
    <w:rsid w:val="003F3F14"/>
    <w:rsid w:val="00401AF2"/>
    <w:rsid w:val="00403138"/>
    <w:rsid w:val="0042102C"/>
    <w:rsid w:val="004222C3"/>
    <w:rsid w:val="00435754"/>
    <w:rsid w:val="004408D1"/>
    <w:rsid w:val="00447132"/>
    <w:rsid w:val="004579EF"/>
    <w:rsid w:val="004616F9"/>
    <w:rsid w:val="00461C47"/>
    <w:rsid w:val="00481303"/>
    <w:rsid w:val="004842D1"/>
    <w:rsid w:val="00487958"/>
    <w:rsid w:val="004A3E13"/>
    <w:rsid w:val="004A7D7C"/>
    <w:rsid w:val="004B00AA"/>
    <w:rsid w:val="004B5749"/>
    <w:rsid w:val="004B716A"/>
    <w:rsid w:val="004B73BA"/>
    <w:rsid w:val="004C59EE"/>
    <w:rsid w:val="004D0646"/>
    <w:rsid w:val="004E0142"/>
    <w:rsid w:val="004E1A18"/>
    <w:rsid w:val="004E56E9"/>
    <w:rsid w:val="004F351F"/>
    <w:rsid w:val="004F543F"/>
    <w:rsid w:val="00502834"/>
    <w:rsid w:val="00520252"/>
    <w:rsid w:val="005309C4"/>
    <w:rsid w:val="005415CB"/>
    <w:rsid w:val="00543355"/>
    <w:rsid w:val="00543E25"/>
    <w:rsid w:val="00546E88"/>
    <w:rsid w:val="005507D2"/>
    <w:rsid w:val="00553219"/>
    <w:rsid w:val="00557DA2"/>
    <w:rsid w:val="00565D46"/>
    <w:rsid w:val="0056664A"/>
    <w:rsid w:val="005667FA"/>
    <w:rsid w:val="00567F63"/>
    <w:rsid w:val="005877AB"/>
    <w:rsid w:val="00587C10"/>
    <w:rsid w:val="005B487E"/>
    <w:rsid w:val="005B78C2"/>
    <w:rsid w:val="005D1103"/>
    <w:rsid w:val="005D3768"/>
    <w:rsid w:val="005E3FC2"/>
    <w:rsid w:val="005F17B1"/>
    <w:rsid w:val="005F2545"/>
    <w:rsid w:val="005F408D"/>
    <w:rsid w:val="005F5FDF"/>
    <w:rsid w:val="006103BE"/>
    <w:rsid w:val="00613D67"/>
    <w:rsid w:val="00626ED1"/>
    <w:rsid w:val="00633F90"/>
    <w:rsid w:val="00653733"/>
    <w:rsid w:val="00655056"/>
    <w:rsid w:val="0065773B"/>
    <w:rsid w:val="00666F7F"/>
    <w:rsid w:val="00684F74"/>
    <w:rsid w:val="00686F73"/>
    <w:rsid w:val="00697F11"/>
    <w:rsid w:val="006B5907"/>
    <w:rsid w:val="006C0045"/>
    <w:rsid w:val="006C260E"/>
    <w:rsid w:val="006C2F3B"/>
    <w:rsid w:val="006D5A56"/>
    <w:rsid w:val="006D7448"/>
    <w:rsid w:val="006E50EF"/>
    <w:rsid w:val="006E7A31"/>
    <w:rsid w:val="006F4568"/>
    <w:rsid w:val="007070A8"/>
    <w:rsid w:val="00707DDE"/>
    <w:rsid w:val="00721700"/>
    <w:rsid w:val="00727BD7"/>
    <w:rsid w:val="007376BC"/>
    <w:rsid w:val="00737B8E"/>
    <w:rsid w:val="007501EE"/>
    <w:rsid w:val="007540BC"/>
    <w:rsid w:val="007549D8"/>
    <w:rsid w:val="0077491F"/>
    <w:rsid w:val="00775601"/>
    <w:rsid w:val="00781CFA"/>
    <w:rsid w:val="00785666"/>
    <w:rsid w:val="00797B5B"/>
    <w:rsid w:val="007A4CAB"/>
    <w:rsid w:val="007A53D6"/>
    <w:rsid w:val="007B0B68"/>
    <w:rsid w:val="007B0C4F"/>
    <w:rsid w:val="007C154D"/>
    <w:rsid w:val="007C5F53"/>
    <w:rsid w:val="007D2115"/>
    <w:rsid w:val="007D45D8"/>
    <w:rsid w:val="007E31DA"/>
    <w:rsid w:val="007E6B8F"/>
    <w:rsid w:val="007F1EAA"/>
    <w:rsid w:val="007F736C"/>
    <w:rsid w:val="00803ED7"/>
    <w:rsid w:val="00807856"/>
    <w:rsid w:val="00816B99"/>
    <w:rsid w:val="00822040"/>
    <w:rsid w:val="00822F96"/>
    <w:rsid w:val="00824B4D"/>
    <w:rsid w:val="008334BB"/>
    <w:rsid w:val="00852CB1"/>
    <w:rsid w:val="008706E9"/>
    <w:rsid w:val="008809A4"/>
    <w:rsid w:val="00896B8A"/>
    <w:rsid w:val="00897F7A"/>
    <w:rsid w:val="008A3F54"/>
    <w:rsid w:val="008A70F5"/>
    <w:rsid w:val="008B171B"/>
    <w:rsid w:val="008E4356"/>
    <w:rsid w:val="008F6344"/>
    <w:rsid w:val="008F64F1"/>
    <w:rsid w:val="00902B1F"/>
    <w:rsid w:val="00902D48"/>
    <w:rsid w:val="009074B5"/>
    <w:rsid w:val="0091465A"/>
    <w:rsid w:val="0092002E"/>
    <w:rsid w:val="0092658E"/>
    <w:rsid w:val="00931661"/>
    <w:rsid w:val="00936CFC"/>
    <w:rsid w:val="009402C1"/>
    <w:rsid w:val="00941C53"/>
    <w:rsid w:val="0095187E"/>
    <w:rsid w:val="00953EEE"/>
    <w:rsid w:val="009543E6"/>
    <w:rsid w:val="00970DBD"/>
    <w:rsid w:val="00973972"/>
    <w:rsid w:val="00980070"/>
    <w:rsid w:val="009844D1"/>
    <w:rsid w:val="00984BE7"/>
    <w:rsid w:val="00986DC7"/>
    <w:rsid w:val="009A0750"/>
    <w:rsid w:val="009A2EFC"/>
    <w:rsid w:val="009C3575"/>
    <w:rsid w:val="009C3EC4"/>
    <w:rsid w:val="009C4718"/>
    <w:rsid w:val="009F2E96"/>
    <w:rsid w:val="009F6915"/>
    <w:rsid w:val="00A04D66"/>
    <w:rsid w:val="00A06A55"/>
    <w:rsid w:val="00A06B47"/>
    <w:rsid w:val="00A1537B"/>
    <w:rsid w:val="00A24F90"/>
    <w:rsid w:val="00A279DA"/>
    <w:rsid w:val="00A3653D"/>
    <w:rsid w:val="00A46C6F"/>
    <w:rsid w:val="00A51257"/>
    <w:rsid w:val="00A6078C"/>
    <w:rsid w:val="00A61220"/>
    <w:rsid w:val="00A674B8"/>
    <w:rsid w:val="00A706DD"/>
    <w:rsid w:val="00A71775"/>
    <w:rsid w:val="00A7287D"/>
    <w:rsid w:val="00A733B4"/>
    <w:rsid w:val="00A754ED"/>
    <w:rsid w:val="00A8775D"/>
    <w:rsid w:val="00A93996"/>
    <w:rsid w:val="00AB46D5"/>
    <w:rsid w:val="00AC16D8"/>
    <w:rsid w:val="00AD3915"/>
    <w:rsid w:val="00AD6E7B"/>
    <w:rsid w:val="00AE3988"/>
    <w:rsid w:val="00B04F5C"/>
    <w:rsid w:val="00B069F3"/>
    <w:rsid w:val="00B21D55"/>
    <w:rsid w:val="00B21E97"/>
    <w:rsid w:val="00B273CD"/>
    <w:rsid w:val="00B3569A"/>
    <w:rsid w:val="00B51DDF"/>
    <w:rsid w:val="00B611EC"/>
    <w:rsid w:val="00B63BC5"/>
    <w:rsid w:val="00B66FA6"/>
    <w:rsid w:val="00B81FAB"/>
    <w:rsid w:val="00B85518"/>
    <w:rsid w:val="00B92E1B"/>
    <w:rsid w:val="00B97B57"/>
    <w:rsid w:val="00BA1FAA"/>
    <w:rsid w:val="00BC0F2D"/>
    <w:rsid w:val="00BC3C3C"/>
    <w:rsid w:val="00BC5A45"/>
    <w:rsid w:val="00BE7766"/>
    <w:rsid w:val="00BE7FA8"/>
    <w:rsid w:val="00C00B59"/>
    <w:rsid w:val="00C04EB4"/>
    <w:rsid w:val="00C07CD6"/>
    <w:rsid w:val="00C13FFA"/>
    <w:rsid w:val="00C25557"/>
    <w:rsid w:val="00C3205C"/>
    <w:rsid w:val="00C32B93"/>
    <w:rsid w:val="00C52B8B"/>
    <w:rsid w:val="00C82075"/>
    <w:rsid w:val="00C85AC6"/>
    <w:rsid w:val="00C961C4"/>
    <w:rsid w:val="00CA5817"/>
    <w:rsid w:val="00CB0BFD"/>
    <w:rsid w:val="00CC60E1"/>
    <w:rsid w:val="00CD6DD9"/>
    <w:rsid w:val="00D014DC"/>
    <w:rsid w:val="00D2104E"/>
    <w:rsid w:val="00D214EB"/>
    <w:rsid w:val="00D223D6"/>
    <w:rsid w:val="00D43A03"/>
    <w:rsid w:val="00D44022"/>
    <w:rsid w:val="00D535BC"/>
    <w:rsid w:val="00D55683"/>
    <w:rsid w:val="00D56645"/>
    <w:rsid w:val="00D6016C"/>
    <w:rsid w:val="00D62981"/>
    <w:rsid w:val="00D6683F"/>
    <w:rsid w:val="00D714C2"/>
    <w:rsid w:val="00D77ED4"/>
    <w:rsid w:val="00D77F20"/>
    <w:rsid w:val="00D77F77"/>
    <w:rsid w:val="00D852F8"/>
    <w:rsid w:val="00DA223F"/>
    <w:rsid w:val="00DA7F0B"/>
    <w:rsid w:val="00DD49A6"/>
    <w:rsid w:val="00DD54BF"/>
    <w:rsid w:val="00DE5C37"/>
    <w:rsid w:val="00DF2389"/>
    <w:rsid w:val="00E15117"/>
    <w:rsid w:val="00E15F2F"/>
    <w:rsid w:val="00E16A11"/>
    <w:rsid w:val="00E21FF1"/>
    <w:rsid w:val="00E26767"/>
    <w:rsid w:val="00E43F0A"/>
    <w:rsid w:val="00E638A5"/>
    <w:rsid w:val="00E71E84"/>
    <w:rsid w:val="00E71FC7"/>
    <w:rsid w:val="00EA361E"/>
    <w:rsid w:val="00EC58B5"/>
    <w:rsid w:val="00ED421F"/>
    <w:rsid w:val="00EE662E"/>
    <w:rsid w:val="00F03EAE"/>
    <w:rsid w:val="00F12907"/>
    <w:rsid w:val="00F13C75"/>
    <w:rsid w:val="00F20BC6"/>
    <w:rsid w:val="00F45A9E"/>
    <w:rsid w:val="00F4666D"/>
    <w:rsid w:val="00F5398C"/>
    <w:rsid w:val="00F6180E"/>
    <w:rsid w:val="00F73696"/>
    <w:rsid w:val="00F97D1D"/>
    <w:rsid w:val="00FA133F"/>
    <w:rsid w:val="00FB55EE"/>
    <w:rsid w:val="00FB7286"/>
    <w:rsid w:val="00FC1160"/>
    <w:rsid w:val="00FC3778"/>
    <w:rsid w:val="00FC764C"/>
    <w:rsid w:val="00FD2CEE"/>
    <w:rsid w:val="00FD396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0826F6"/>
  <w15:docId w15:val="{BFB736DC-DE73-4797-BA71-67661D4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1B"/>
    <w:rPr>
      <w:sz w:val="24"/>
    </w:rPr>
  </w:style>
  <w:style w:type="paragraph" w:styleId="Heading1">
    <w:name w:val="heading 1"/>
    <w:basedOn w:val="Normal"/>
    <w:next w:val="Heading2"/>
    <w:link w:val="Heading1Char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  <w:tabs>
        <w:tab w:val="clear" w:pos="1440"/>
        <w:tab w:val="num" w:pos="360"/>
      </w:tabs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0F3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3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19"/>
    <w:rPr>
      <w:sz w:val="24"/>
    </w:rPr>
  </w:style>
  <w:style w:type="character" w:styleId="Hyperlink">
    <w:name w:val="Hyperlink"/>
    <w:basedOn w:val="DefaultParagraphFont"/>
    <w:uiPriority w:val="99"/>
    <w:unhideWhenUsed/>
    <w:rsid w:val="000F3D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6B8A"/>
    <w:rPr>
      <w:b/>
      <w:kern w:val="28"/>
      <w:sz w:val="24"/>
    </w:rPr>
  </w:style>
  <w:style w:type="paragraph" w:styleId="ListParagraph">
    <w:name w:val="List Paragraph"/>
    <w:basedOn w:val="Normal"/>
    <w:uiPriority w:val="34"/>
    <w:qFormat/>
    <w:rsid w:val="0008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5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8207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099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5754"/>
    <w:rPr>
      <w:rFonts w:ascii="Calibri" w:hAnsi="Calibri" w:cs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435754"/>
    <w:rPr>
      <w:rFonts w:ascii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B0"/>
    <w:rPr>
      <w:b/>
      <w:bCs/>
    </w:rPr>
  </w:style>
  <w:style w:type="table" w:styleId="TableGrid">
    <w:name w:val="Table Grid"/>
    <w:basedOn w:val="TableNormal"/>
    <w:uiPriority w:val="59"/>
    <w:unhideWhenUsed/>
    <w:rsid w:val="008B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5A7B-2B30-41EF-A6D7-92DD819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668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Estephan, Marina</dc:creator>
  <cp:lastModifiedBy>Plustwik, Peter</cp:lastModifiedBy>
  <cp:revision>3</cp:revision>
  <cp:lastPrinted>2021-02-09T02:53:00Z</cp:lastPrinted>
  <dcterms:created xsi:type="dcterms:W3CDTF">2021-09-30T06:34:00Z</dcterms:created>
  <dcterms:modified xsi:type="dcterms:W3CDTF">2021-09-30T07:10:00Z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2021-09-30T07:10:09Z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/>
  </property>
  <property fmtid="{D5CDD505-2E9C-101B-9397-08002B2CF9AE}" pid="8" name="MSIP_Label_b3b4ac1b-ad46-41e5-bbef-cfcc59b99d32_ContentBits">
    <vt:lpwstr>2</vt:lpwstr>
  </property>
</Properties>
</file>